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26CFFC" w14:textId="1883E51D" w:rsidR="00EB0423" w:rsidRDefault="002025B0">
      <w:pPr>
        <w:rPr>
          <w:rFonts w:ascii="Arial" w:hAnsi="Arial" w:cs="Arial"/>
          <w:sz w:val="24"/>
          <w:szCs w:val="24"/>
        </w:rPr>
      </w:pPr>
      <w:r w:rsidRPr="002025B0">
        <w:rPr>
          <w:rFonts w:ascii="Arial" w:hAnsi="Arial" w:cs="Arial"/>
          <w:sz w:val="24"/>
          <w:szCs w:val="24"/>
        </w:rPr>
        <w:t xml:space="preserve">Teil 2: </w:t>
      </w:r>
      <w:r w:rsidR="005F2532">
        <w:rPr>
          <w:rFonts w:ascii="Arial" w:hAnsi="Arial" w:cs="Arial"/>
          <w:sz w:val="24"/>
          <w:szCs w:val="24"/>
        </w:rPr>
        <w:t>Das Nash-Gleichgewicht</w:t>
      </w:r>
      <w:r w:rsidR="00505872">
        <w:rPr>
          <w:rFonts w:ascii="Arial" w:hAnsi="Arial" w:cs="Arial"/>
          <w:sz w:val="24"/>
          <w:szCs w:val="24"/>
        </w:rPr>
        <w:t xml:space="preserve"> (ca. 15 Minuten)</w:t>
      </w:r>
    </w:p>
    <w:p w14:paraId="7A804D25" w14:textId="0242E138" w:rsidR="005F2532" w:rsidRPr="005F2532" w:rsidRDefault="005F2532" w:rsidP="00DD16DB">
      <w:pPr>
        <w:jc w:val="both"/>
        <w:rPr>
          <w:rFonts w:ascii="Arial" w:hAnsi="Arial" w:cs="Arial"/>
        </w:rPr>
      </w:pPr>
      <w:r>
        <w:rPr>
          <w:rFonts w:ascii="Arial" w:hAnsi="Arial" w:cs="Arial"/>
        </w:rPr>
        <w:t xml:space="preserve">Anschließend an die Erkenntnisse aus dem Spiel </w:t>
      </w:r>
      <w:r w:rsidR="00073509">
        <w:rPr>
          <w:rFonts w:ascii="Arial" w:hAnsi="Arial" w:cs="Arial"/>
        </w:rPr>
        <w:t xml:space="preserve">(siehe </w:t>
      </w:r>
      <w:r>
        <w:rPr>
          <w:rFonts w:ascii="Arial" w:hAnsi="Arial" w:cs="Arial"/>
        </w:rPr>
        <w:t>Teil 1</w:t>
      </w:r>
      <w:r w:rsidR="00073509">
        <w:rPr>
          <w:rFonts w:ascii="Arial" w:hAnsi="Arial" w:cs="Arial"/>
        </w:rPr>
        <w:t>)</w:t>
      </w:r>
      <w:r>
        <w:rPr>
          <w:rFonts w:ascii="Arial" w:hAnsi="Arial" w:cs="Arial"/>
        </w:rPr>
        <w:t xml:space="preserve"> </w:t>
      </w:r>
      <w:r w:rsidR="00073509">
        <w:rPr>
          <w:rFonts w:ascii="Arial" w:hAnsi="Arial" w:cs="Arial"/>
        </w:rPr>
        <w:t xml:space="preserve">folgt nun der theoretische Teil. </w:t>
      </w:r>
      <w:r w:rsidR="00E7560B">
        <w:rPr>
          <w:rFonts w:ascii="Arial" w:hAnsi="Arial" w:cs="Arial"/>
        </w:rPr>
        <w:t>Den Schülern wird durch die Auswertung des Spiels bewusst, dass die intuitiv optimale Entscheidung zu schweigen nicht mit der für das Individuum besten Entscheidung übereinstimmt.</w:t>
      </w:r>
    </w:p>
    <w:tbl>
      <w:tblPr>
        <w:tblStyle w:val="Tabellenraster"/>
        <w:tblW w:w="9389" w:type="dxa"/>
        <w:tblLook w:val="04A0" w:firstRow="1" w:lastRow="0" w:firstColumn="1" w:lastColumn="0" w:noHBand="0" w:noVBand="1"/>
      </w:tblPr>
      <w:tblGrid>
        <w:gridCol w:w="5382"/>
        <w:gridCol w:w="2126"/>
        <w:gridCol w:w="1881"/>
      </w:tblGrid>
      <w:tr w:rsidR="005F2532" w14:paraId="0D51C5C0" w14:textId="77777777" w:rsidTr="00405178">
        <w:trPr>
          <w:trHeight w:val="234"/>
        </w:trPr>
        <w:tc>
          <w:tcPr>
            <w:tcW w:w="5382" w:type="dxa"/>
          </w:tcPr>
          <w:p w14:paraId="17887791" w14:textId="77777777" w:rsidR="005F2532" w:rsidRDefault="005F2532" w:rsidP="00405178">
            <w:pPr>
              <w:spacing w:after="120"/>
              <w:jc w:val="both"/>
              <w:rPr>
                <w:rFonts w:ascii="Arial" w:hAnsi="Arial" w:cs="Arial"/>
              </w:rPr>
            </w:pPr>
            <w:r>
              <w:rPr>
                <w:rFonts w:ascii="Arial" w:hAnsi="Arial" w:cs="Arial"/>
              </w:rPr>
              <w:t>Beschreibung</w:t>
            </w:r>
          </w:p>
        </w:tc>
        <w:tc>
          <w:tcPr>
            <w:tcW w:w="2126" w:type="dxa"/>
          </w:tcPr>
          <w:p w14:paraId="695FAA59" w14:textId="77777777" w:rsidR="005F2532" w:rsidRDefault="005F2532" w:rsidP="00405178">
            <w:pPr>
              <w:jc w:val="both"/>
              <w:rPr>
                <w:rFonts w:ascii="Arial" w:hAnsi="Arial" w:cs="Arial"/>
              </w:rPr>
            </w:pPr>
            <w:r>
              <w:rPr>
                <w:rFonts w:ascii="Arial" w:hAnsi="Arial" w:cs="Arial"/>
              </w:rPr>
              <w:t>Medien</w:t>
            </w:r>
          </w:p>
        </w:tc>
        <w:tc>
          <w:tcPr>
            <w:tcW w:w="1881" w:type="dxa"/>
          </w:tcPr>
          <w:p w14:paraId="16170CC6" w14:textId="77777777" w:rsidR="005F2532" w:rsidRDefault="005F2532" w:rsidP="00405178">
            <w:pPr>
              <w:jc w:val="both"/>
              <w:rPr>
                <w:rFonts w:ascii="Arial" w:hAnsi="Arial" w:cs="Arial"/>
              </w:rPr>
            </w:pPr>
            <w:r>
              <w:rPr>
                <w:rFonts w:ascii="Arial" w:hAnsi="Arial" w:cs="Arial"/>
              </w:rPr>
              <w:t>Sozialform</w:t>
            </w:r>
          </w:p>
        </w:tc>
      </w:tr>
      <w:tr w:rsidR="005F2532" w14:paraId="56293FAD" w14:textId="77777777" w:rsidTr="00405178">
        <w:trPr>
          <w:trHeight w:val="234"/>
        </w:trPr>
        <w:tc>
          <w:tcPr>
            <w:tcW w:w="5382" w:type="dxa"/>
          </w:tcPr>
          <w:p w14:paraId="151C049C" w14:textId="61936023" w:rsidR="005F2532" w:rsidRDefault="00D8181C" w:rsidP="00405178">
            <w:pPr>
              <w:spacing w:after="120"/>
              <w:jc w:val="both"/>
              <w:rPr>
                <w:rFonts w:ascii="Arial" w:hAnsi="Arial" w:cs="Arial"/>
              </w:rPr>
            </w:pPr>
            <w:r>
              <w:rPr>
                <w:rFonts w:ascii="Arial" w:hAnsi="Arial" w:cs="Arial"/>
              </w:rPr>
              <w:t>Beschreibung der Erkenntnisse und Definition des Begriffes Nash-Gleichgewicht</w:t>
            </w:r>
          </w:p>
        </w:tc>
        <w:tc>
          <w:tcPr>
            <w:tcW w:w="2126" w:type="dxa"/>
          </w:tcPr>
          <w:p w14:paraId="6EE98E70" w14:textId="77777777" w:rsidR="005F2532" w:rsidRDefault="005F2532" w:rsidP="00405178">
            <w:pPr>
              <w:jc w:val="both"/>
              <w:rPr>
                <w:rFonts w:ascii="Arial" w:hAnsi="Arial" w:cs="Arial"/>
              </w:rPr>
            </w:pPr>
          </w:p>
        </w:tc>
        <w:tc>
          <w:tcPr>
            <w:tcW w:w="1881" w:type="dxa"/>
          </w:tcPr>
          <w:p w14:paraId="110A609E" w14:textId="77777777" w:rsidR="005F2532" w:rsidRDefault="005F2532" w:rsidP="00405178">
            <w:pPr>
              <w:jc w:val="both"/>
              <w:rPr>
                <w:rFonts w:ascii="Arial" w:hAnsi="Arial" w:cs="Arial"/>
              </w:rPr>
            </w:pPr>
            <w:r>
              <w:rPr>
                <w:rFonts w:ascii="Arial" w:hAnsi="Arial" w:cs="Arial"/>
              </w:rPr>
              <w:t>Plenum</w:t>
            </w:r>
          </w:p>
        </w:tc>
      </w:tr>
      <w:tr w:rsidR="005F2532" w:rsidRPr="001D74BA" w14:paraId="330EEFAC" w14:textId="77777777" w:rsidTr="00405178">
        <w:trPr>
          <w:trHeight w:val="54"/>
        </w:trPr>
        <w:tc>
          <w:tcPr>
            <w:tcW w:w="5382" w:type="dxa"/>
          </w:tcPr>
          <w:p w14:paraId="077CA51F" w14:textId="153FE6E3" w:rsidR="005F2532" w:rsidRDefault="00505872" w:rsidP="00405178">
            <w:pPr>
              <w:spacing w:after="120"/>
              <w:jc w:val="both"/>
              <w:rPr>
                <w:rFonts w:ascii="Arial" w:hAnsi="Arial" w:cs="Arial"/>
              </w:rPr>
            </w:pPr>
            <w:r>
              <w:rPr>
                <w:rFonts w:ascii="Arial" w:hAnsi="Arial" w:cs="Arial"/>
              </w:rPr>
              <w:t xml:space="preserve">Besprechung von </w:t>
            </w:r>
            <w:r w:rsidR="00B57ED3">
              <w:rPr>
                <w:rFonts w:ascii="Arial" w:hAnsi="Arial" w:cs="Arial"/>
              </w:rPr>
              <w:t>unterschiedlichen Fällen jeweils mit</w:t>
            </w:r>
            <w:r>
              <w:rPr>
                <w:rFonts w:ascii="Arial" w:hAnsi="Arial" w:cs="Arial"/>
              </w:rPr>
              <w:t xml:space="preserve"> Beispiel</w:t>
            </w:r>
          </w:p>
        </w:tc>
        <w:tc>
          <w:tcPr>
            <w:tcW w:w="2126" w:type="dxa"/>
          </w:tcPr>
          <w:p w14:paraId="53D73E7F" w14:textId="357426D9" w:rsidR="005F2532" w:rsidRDefault="00B57ED3" w:rsidP="00405178">
            <w:pPr>
              <w:rPr>
                <w:rFonts w:ascii="Arial" w:hAnsi="Arial" w:cs="Arial"/>
              </w:rPr>
            </w:pPr>
            <w:r>
              <w:rPr>
                <w:rFonts w:ascii="Arial" w:hAnsi="Arial" w:cs="Arial"/>
              </w:rPr>
              <w:t>Ggf. Tafel, Heft</w:t>
            </w:r>
          </w:p>
        </w:tc>
        <w:tc>
          <w:tcPr>
            <w:tcW w:w="1881" w:type="dxa"/>
          </w:tcPr>
          <w:p w14:paraId="03857CBC" w14:textId="77777777" w:rsidR="005F2532" w:rsidRPr="001D74BA" w:rsidRDefault="005F2532" w:rsidP="00405178">
            <w:pPr>
              <w:jc w:val="both"/>
              <w:rPr>
                <w:rFonts w:ascii="Arial" w:hAnsi="Arial" w:cs="Arial"/>
                <w:i/>
                <w:iCs/>
              </w:rPr>
            </w:pPr>
            <w:r w:rsidRPr="001D74BA">
              <w:rPr>
                <w:rFonts w:ascii="Arial" w:hAnsi="Arial" w:cs="Arial"/>
                <w:i/>
                <w:iCs/>
              </w:rPr>
              <w:t>fakultativ</w:t>
            </w:r>
          </w:p>
        </w:tc>
      </w:tr>
    </w:tbl>
    <w:p w14:paraId="6F571141" w14:textId="518EE4A9" w:rsidR="00D8181C" w:rsidRDefault="00B57ED3" w:rsidP="00023D5B">
      <w:pPr>
        <w:spacing w:before="240"/>
        <w:jc w:val="both"/>
        <w:rPr>
          <w:rFonts w:ascii="Arial" w:hAnsi="Arial" w:cs="Arial"/>
        </w:rPr>
      </w:pPr>
      <w:r>
        <w:rPr>
          <w:rFonts w:ascii="Arial" w:hAnsi="Arial" w:cs="Arial"/>
        </w:rPr>
        <w:t>Angelehnt an das Gefangenen</w:t>
      </w:r>
      <w:r w:rsidR="00DD16DB">
        <w:rPr>
          <w:rFonts w:ascii="Arial" w:hAnsi="Arial" w:cs="Arial"/>
        </w:rPr>
        <w:t>dilemma von Teil 1 soll ge</w:t>
      </w:r>
      <w:r w:rsidR="00D8181C">
        <w:rPr>
          <w:rFonts w:ascii="Arial" w:hAnsi="Arial" w:cs="Arial"/>
        </w:rPr>
        <w:t>meinsam eine Auszahlungstabelle erarbeitet werden, in der beide Auszahlungen dargestellt werden. Die linke Zahl beschreibt dabei die Gefängnisstrafe von Täter 1, die rechte Zahl von Täter 2.</w:t>
      </w:r>
    </w:p>
    <w:tbl>
      <w:tblPr>
        <w:tblStyle w:val="Tabellenraster"/>
        <w:tblW w:w="9351" w:type="dxa"/>
        <w:tblLook w:val="04A0" w:firstRow="1" w:lastRow="0" w:firstColumn="1" w:lastColumn="0" w:noHBand="0" w:noVBand="1"/>
      </w:tblPr>
      <w:tblGrid>
        <w:gridCol w:w="3020"/>
        <w:gridCol w:w="3021"/>
        <w:gridCol w:w="3310"/>
      </w:tblGrid>
      <w:tr w:rsidR="00D8181C" w:rsidRPr="00A53BA0" w14:paraId="38A5F1F8" w14:textId="77777777" w:rsidTr="00F24570">
        <w:tc>
          <w:tcPr>
            <w:tcW w:w="3020" w:type="dxa"/>
          </w:tcPr>
          <w:p w14:paraId="7A3DD888" w14:textId="77777777" w:rsidR="00D8181C" w:rsidRPr="000A46F3" w:rsidRDefault="00D8181C" w:rsidP="00F24570">
            <w:pPr>
              <w:rPr>
                <w:rFonts w:ascii="Arial" w:hAnsi="Arial" w:cs="Arial"/>
              </w:rPr>
            </w:pPr>
          </w:p>
        </w:tc>
        <w:tc>
          <w:tcPr>
            <w:tcW w:w="3021" w:type="dxa"/>
          </w:tcPr>
          <w:p w14:paraId="31A8C53B" w14:textId="77777777" w:rsidR="00D8181C" w:rsidRPr="000A46F3" w:rsidRDefault="00D8181C" w:rsidP="00F24570">
            <w:pPr>
              <w:rPr>
                <w:rFonts w:ascii="Arial" w:hAnsi="Arial" w:cs="Arial"/>
              </w:rPr>
            </w:pPr>
            <w:r w:rsidRPr="000A46F3">
              <w:rPr>
                <w:rFonts w:ascii="Arial" w:hAnsi="Arial" w:cs="Arial"/>
              </w:rPr>
              <w:t>Täter 2 gesteht</w:t>
            </w:r>
          </w:p>
        </w:tc>
        <w:tc>
          <w:tcPr>
            <w:tcW w:w="3310" w:type="dxa"/>
          </w:tcPr>
          <w:p w14:paraId="32A32A99" w14:textId="77777777" w:rsidR="00D8181C" w:rsidRPr="000A46F3" w:rsidRDefault="00D8181C" w:rsidP="00F24570">
            <w:pPr>
              <w:rPr>
                <w:rFonts w:ascii="Arial" w:hAnsi="Arial" w:cs="Arial"/>
              </w:rPr>
            </w:pPr>
            <w:r w:rsidRPr="000A46F3">
              <w:rPr>
                <w:rFonts w:ascii="Arial" w:hAnsi="Arial" w:cs="Arial"/>
              </w:rPr>
              <w:t>Täter 2 gesteht nicht</w:t>
            </w:r>
          </w:p>
        </w:tc>
      </w:tr>
      <w:tr w:rsidR="00D8181C" w:rsidRPr="00A53BA0" w14:paraId="16852160" w14:textId="77777777" w:rsidTr="00F24570">
        <w:tc>
          <w:tcPr>
            <w:tcW w:w="3020" w:type="dxa"/>
          </w:tcPr>
          <w:p w14:paraId="51408E62" w14:textId="77777777" w:rsidR="00D8181C" w:rsidRPr="000A46F3" w:rsidRDefault="00D8181C" w:rsidP="00F24570">
            <w:pPr>
              <w:rPr>
                <w:rFonts w:ascii="Arial" w:hAnsi="Arial" w:cs="Arial"/>
              </w:rPr>
            </w:pPr>
            <w:r w:rsidRPr="000A46F3">
              <w:rPr>
                <w:rFonts w:ascii="Arial" w:hAnsi="Arial" w:cs="Arial"/>
              </w:rPr>
              <w:t>Täter 1 gesteht</w:t>
            </w:r>
          </w:p>
        </w:tc>
        <w:tc>
          <w:tcPr>
            <w:tcW w:w="3021" w:type="dxa"/>
          </w:tcPr>
          <w:p w14:paraId="34A336E5" w14:textId="77777777" w:rsidR="00D8181C" w:rsidRPr="000A46F3" w:rsidRDefault="00D8181C" w:rsidP="00F24570">
            <w:pPr>
              <w:rPr>
                <w:rFonts w:ascii="Arial" w:hAnsi="Arial" w:cs="Arial"/>
              </w:rPr>
            </w:pPr>
            <w:r w:rsidRPr="000A46F3">
              <w:rPr>
                <w:rFonts w:ascii="Arial" w:hAnsi="Arial" w:cs="Arial"/>
              </w:rPr>
              <w:t>5,5</w:t>
            </w:r>
          </w:p>
        </w:tc>
        <w:tc>
          <w:tcPr>
            <w:tcW w:w="3310" w:type="dxa"/>
          </w:tcPr>
          <w:p w14:paraId="747DBB3E" w14:textId="77777777" w:rsidR="00D8181C" w:rsidRPr="000A46F3" w:rsidRDefault="00D8181C" w:rsidP="00F24570">
            <w:pPr>
              <w:rPr>
                <w:rFonts w:ascii="Arial" w:hAnsi="Arial" w:cs="Arial"/>
              </w:rPr>
            </w:pPr>
            <w:r w:rsidRPr="000A46F3">
              <w:rPr>
                <w:rFonts w:ascii="Arial" w:hAnsi="Arial" w:cs="Arial"/>
              </w:rPr>
              <w:t>1,10</w:t>
            </w:r>
          </w:p>
        </w:tc>
      </w:tr>
      <w:tr w:rsidR="00D8181C" w:rsidRPr="00A53BA0" w14:paraId="3DF97B08" w14:textId="77777777" w:rsidTr="00F24570">
        <w:tc>
          <w:tcPr>
            <w:tcW w:w="3020" w:type="dxa"/>
          </w:tcPr>
          <w:p w14:paraId="0C5E306D" w14:textId="77777777" w:rsidR="00D8181C" w:rsidRPr="000A46F3" w:rsidRDefault="00D8181C" w:rsidP="00F24570">
            <w:pPr>
              <w:rPr>
                <w:rFonts w:ascii="Arial" w:hAnsi="Arial" w:cs="Arial"/>
              </w:rPr>
            </w:pPr>
            <w:r w:rsidRPr="000A46F3">
              <w:rPr>
                <w:rFonts w:ascii="Arial" w:hAnsi="Arial" w:cs="Arial"/>
              </w:rPr>
              <w:t>Täter 1 gesteht nicht</w:t>
            </w:r>
          </w:p>
        </w:tc>
        <w:tc>
          <w:tcPr>
            <w:tcW w:w="3021" w:type="dxa"/>
          </w:tcPr>
          <w:p w14:paraId="14748331" w14:textId="77777777" w:rsidR="00D8181C" w:rsidRPr="000A46F3" w:rsidRDefault="00D8181C" w:rsidP="00F24570">
            <w:pPr>
              <w:rPr>
                <w:rFonts w:ascii="Arial" w:hAnsi="Arial" w:cs="Arial"/>
              </w:rPr>
            </w:pPr>
            <w:r w:rsidRPr="000A46F3">
              <w:rPr>
                <w:rFonts w:ascii="Arial" w:hAnsi="Arial" w:cs="Arial"/>
              </w:rPr>
              <w:t>10,1</w:t>
            </w:r>
          </w:p>
        </w:tc>
        <w:tc>
          <w:tcPr>
            <w:tcW w:w="3310" w:type="dxa"/>
          </w:tcPr>
          <w:p w14:paraId="54D9AE1D" w14:textId="77777777" w:rsidR="00D8181C" w:rsidRPr="000A46F3" w:rsidRDefault="00D8181C" w:rsidP="00F24570">
            <w:pPr>
              <w:rPr>
                <w:rFonts w:ascii="Arial" w:hAnsi="Arial" w:cs="Arial"/>
              </w:rPr>
            </w:pPr>
            <w:r w:rsidRPr="000A46F3">
              <w:rPr>
                <w:rFonts w:ascii="Arial" w:hAnsi="Arial" w:cs="Arial"/>
              </w:rPr>
              <w:t>2,2</w:t>
            </w:r>
          </w:p>
        </w:tc>
      </w:tr>
    </w:tbl>
    <w:p w14:paraId="22D35F07" w14:textId="77777777" w:rsidR="00D8181C" w:rsidRDefault="00D8181C" w:rsidP="00023D5B">
      <w:pPr>
        <w:spacing w:before="240"/>
        <w:jc w:val="both"/>
        <w:rPr>
          <w:rFonts w:ascii="Arial" w:hAnsi="Arial" w:cs="Arial"/>
        </w:rPr>
      </w:pPr>
      <w:r>
        <w:rPr>
          <w:rFonts w:ascii="Arial" w:hAnsi="Arial" w:cs="Arial"/>
        </w:rPr>
        <w:t xml:space="preserve">Anhand dieser Auszahlungsmatrix soll den Schülerinnen und Schülern bewusst gemacht werden, dass in der Situation (Gestehen, Gestehen) keiner einen Anreiz hat, seine Entscheidung zu verändern, da dadurch keine Besserstellung möglich ist. Wenn Täter 1 gesteht, ist es für Täter 2 optimal auch zu gestehen. Wenn Täter 1 nicht gesteht, ist es für Täter 2 ebenfalls die beste Option zu gestehen </w:t>
      </w:r>
      <w:r>
        <w:rPr>
          <w:rFonts w:ascii="Arial" w:hAnsi="Arial" w:cs="Arial"/>
          <w:sz w:val="20"/>
          <w:szCs w:val="20"/>
        </w:rPr>
        <w:t>(</w:t>
      </w:r>
      <w:r>
        <w:rPr>
          <w:rFonts w:ascii="Arial" w:hAnsi="Arial" w:cs="Arial"/>
        </w:rPr>
        <w:t>analog für Täter 1).</w:t>
      </w:r>
    </w:p>
    <w:p w14:paraId="17CB5A62" w14:textId="40629FF4" w:rsidR="00D8181C" w:rsidRDefault="00D8181C" w:rsidP="00DD16DB">
      <w:pPr>
        <w:jc w:val="both"/>
        <w:rPr>
          <w:rFonts w:ascii="Arial" w:hAnsi="Arial" w:cs="Arial"/>
        </w:rPr>
      </w:pPr>
      <w:r>
        <w:rPr>
          <w:rFonts w:ascii="Arial" w:hAnsi="Arial" w:cs="Arial"/>
        </w:rPr>
        <w:t>Den Schülerinnen und Schülern wird erklärt was ein Nash-Gleichgewicht ist:</w:t>
      </w:r>
    </w:p>
    <w:p w14:paraId="229F2996" w14:textId="6E2AD88B" w:rsidR="00D8181C" w:rsidRPr="00507E98" w:rsidRDefault="00505872" w:rsidP="00DD16DB">
      <w:pPr>
        <w:jc w:val="both"/>
        <w:rPr>
          <w:rFonts w:ascii="Arial" w:hAnsi="Arial" w:cs="Arial"/>
          <w:i/>
          <w:iCs/>
        </w:rPr>
      </w:pPr>
      <w:r w:rsidRPr="00507E98">
        <w:rPr>
          <w:rFonts w:ascii="Arial" w:hAnsi="Arial" w:cs="Arial"/>
          <w:i/>
          <w:iCs/>
        </w:rPr>
        <w:t>„</w:t>
      </w:r>
      <w:r w:rsidR="00D8181C" w:rsidRPr="00507E98">
        <w:rPr>
          <w:rFonts w:ascii="Arial" w:hAnsi="Arial" w:cs="Arial"/>
          <w:i/>
          <w:iCs/>
        </w:rPr>
        <w:t xml:space="preserve">Das Nash-Gleichgewicht ist ein Zustand, von dem ausgehend kein einzelner Spieler für sich einen Vorteil ziehen kann, indem </w:t>
      </w:r>
      <w:r w:rsidRPr="00507E98">
        <w:rPr>
          <w:rFonts w:ascii="Arial" w:hAnsi="Arial" w:cs="Arial"/>
          <w:i/>
          <w:iCs/>
        </w:rPr>
        <w:t xml:space="preserve">er </w:t>
      </w:r>
      <w:r w:rsidR="00D8181C" w:rsidRPr="00507E98">
        <w:rPr>
          <w:rFonts w:ascii="Arial" w:hAnsi="Arial" w:cs="Arial"/>
          <w:i/>
          <w:iCs/>
        </w:rPr>
        <w:t>von seiner Strategie abweicht.</w:t>
      </w:r>
      <w:r w:rsidRPr="00507E98">
        <w:rPr>
          <w:rFonts w:ascii="Arial" w:hAnsi="Arial" w:cs="Arial"/>
          <w:i/>
          <w:iCs/>
        </w:rPr>
        <w:t>“</w:t>
      </w:r>
      <w:r w:rsidRPr="00507E98">
        <w:rPr>
          <w:rStyle w:val="Funotenzeichen"/>
          <w:rFonts w:ascii="Arial" w:hAnsi="Arial" w:cs="Arial"/>
          <w:i/>
          <w:iCs/>
        </w:rPr>
        <w:footnoteReference w:id="1"/>
      </w:r>
    </w:p>
    <w:p w14:paraId="7CC24BFC" w14:textId="14D834E6" w:rsidR="00DD16DB" w:rsidRPr="00507E98" w:rsidRDefault="00DD16DB" w:rsidP="00DD16DB">
      <w:pPr>
        <w:jc w:val="both"/>
        <w:rPr>
          <w:rFonts w:ascii="Arial" w:hAnsi="Arial" w:cs="Arial"/>
          <w:i/>
          <w:iCs/>
        </w:rPr>
      </w:pPr>
      <w:r w:rsidRPr="00507E98">
        <w:rPr>
          <w:rFonts w:ascii="Arial" w:hAnsi="Arial" w:cs="Arial"/>
          <w:i/>
          <w:iCs/>
        </w:rPr>
        <w:t>„Ich tue das Beste was ich kann, unter Berücksichtigung dessen, was du tust.“</w:t>
      </w:r>
    </w:p>
    <w:p w14:paraId="75009C2C" w14:textId="77777777" w:rsidR="00023D5B" w:rsidRDefault="00023D5B">
      <w:pPr>
        <w:rPr>
          <w:rFonts w:ascii="Arial" w:hAnsi="Arial" w:cs="Arial"/>
        </w:rPr>
      </w:pPr>
      <w:r>
        <w:rPr>
          <w:rFonts w:ascii="Arial" w:hAnsi="Arial" w:cs="Arial"/>
        </w:rPr>
        <w:br w:type="page"/>
      </w:r>
    </w:p>
    <w:p w14:paraId="2A2D6123" w14:textId="75B34503" w:rsidR="00505872" w:rsidRDefault="00507E98" w:rsidP="00D8181C">
      <w:pPr>
        <w:rPr>
          <w:rFonts w:ascii="Arial" w:hAnsi="Arial" w:cs="Arial"/>
        </w:rPr>
      </w:pPr>
      <w:r>
        <w:rPr>
          <w:rFonts w:ascii="Arial" w:hAnsi="Arial" w:cs="Arial"/>
        </w:rPr>
        <w:lastRenderedPageBreak/>
        <w:t>Lernziele mit Beispiel</w:t>
      </w:r>
      <w:r w:rsidR="00505872">
        <w:rPr>
          <w:rFonts w:ascii="Arial" w:hAnsi="Arial" w:cs="Arial"/>
        </w:rPr>
        <w:t>:</w:t>
      </w:r>
    </w:p>
    <w:p w14:paraId="7C18D958" w14:textId="77777777" w:rsidR="00B57ED3" w:rsidRPr="00B57ED3" w:rsidRDefault="00B57ED3" w:rsidP="00DD16DB">
      <w:pPr>
        <w:pStyle w:val="Listenabsatz"/>
        <w:numPr>
          <w:ilvl w:val="0"/>
          <w:numId w:val="1"/>
        </w:numPr>
        <w:jc w:val="both"/>
        <w:rPr>
          <w:rFonts w:ascii="Arial" w:hAnsi="Arial" w:cs="Arial"/>
          <w:i/>
          <w:iCs/>
        </w:rPr>
      </w:pPr>
      <w:r w:rsidRPr="00B57ED3">
        <w:rPr>
          <w:rFonts w:ascii="Arial" w:hAnsi="Arial" w:cs="Arial"/>
          <w:i/>
          <w:iCs/>
        </w:rPr>
        <w:t>Die Schülerinnen und Schüler sollen entsprechend dem Kontext erkennen, ob die größtmögliche oder die kleinstmögliche Auszahlung gesucht ist.</w:t>
      </w:r>
    </w:p>
    <w:p w14:paraId="6D764869" w14:textId="7F18C86A" w:rsidR="00507E98" w:rsidRPr="00507E98" w:rsidRDefault="00E03CD5" w:rsidP="00507E98">
      <w:pPr>
        <w:pStyle w:val="Listenabsatz"/>
        <w:spacing w:before="100" w:beforeAutospacing="1"/>
        <w:jc w:val="both"/>
        <w:rPr>
          <w:rFonts w:ascii="Arial" w:hAnsi="Arial" w:cs="Arial"/>
        </w:rPr>
      </w:pPr>
      <w:r>
        <w:rPr>
          <w:rFonts w:ascii="Arial" w:hAnsi="Arial" w:cs="Arial"/>
        </w:rPr>
        <w:t>Spieler 1 und Spieler 2 haben einen roten und einen blauen Ball</w:t>
      </w:r>
      <w:r w:rsidR="002034FA">
        <w:rPr>
          <w:rFonts w:ascii="Arial" w:hAnsi="Arial" w:cs="Arial"/>
        </w:rPr>
        <w:t xml:space="preserve"> und müssen sich für einen entscheiden. Wählen beide den roten Ball, so bekommt Spieler 1 8 Euro und Spieler 2 4 Euro und so weiter (vgl. Tabelle). Es soll nun also nicht der niedrigste,</w:t>
      </w:r>
      <w:r w:rsidR="00B57ED3">
        <w:rPr>
          <w:rFonts w:ascii="Arial" w:hAnsi="Arial" w:cs="Arial"/>
        </w:rPr>
        <w:t xml:space="preserve"> </w:t>
      </w:r>
      <w:r w:rsidR="002034FA">
        <w:rPr>
          <w:rFonts w:ascii="Arial" w:hAnsi="Arial" w:cs="Arial"/>
        </w:rPr>
        <w:t xml:space="preserve">sondern die größere Auszahlung gewählt werden. Das Nash-Gleichgewicht befindet sich im Punkt (Rot, Rot) = (8,4). </w:t>
      </w:r>
    </w:p>
    <w:tbl>
      <w:tblPr>
        <w:tblStyle w:val="Tabellenraster"/>
        <w:tblW w:w="9351" w:type="dxa"/>
        <w:tblLook w:val="04A0" w:firstRow="1" w:lastRow="0" w:firstColumn="1" w:lastColumn="0" w:noHBand="0" w:noVBand="1"/>
      </w:tblPr>
      <w:tblGrid>
        <w:gridCol w:w="3020"/>
        <w:gridCol w:w="3021"/>
        <w:gridCol w:w="3310"/>
      </w:tblGrid>
      <w:tr w:rsidR="00505872" w:rsidRPr="000A46F3" w14:paraId="74AB76B5" w14:textId="77777777" w:rsidTr="00F24570">
        <w:tc>
          <w:tcPr>
            <w:tcW w:w="3020" w:type="dxa"/>
          </w:tcPr>
          <w:p w14:paraId="445271B6" w14:textId="77777777" w:rsidR="00505872" w:rsidRPr="000A46F3" w:rsidRDefault="00505872" w:rsidP="00F24570">
            <w:pPr>
              <w:rPr>
                <w:rFonts w:ascii="Arial" w:hAnsi="Arial" w:cs="Arial"/>
              </w:rPr>
            </w:pPr>
          </w:p>
        </w:tc>
        <w:tc>
          <w:tcPr>
            <w:tcW w:w="3021" w:type="dxa"/>
          </w:tcPr>
          <w:p w14:paraId="29E13799" w14:textId="3AD6ADBA" w:rsidR="00505872" w:rsidRPr="000A46F3" w:rsidRDefault="00E03CD5" w:rsidP="00F24570">
            <w:pPr>
              <w:rPr>
                <w:rFonts w:ascii="Arial" w:hAnsi="Arial" w:cs="Arial"/>
              </w:rPr>
            </w:pPr>
            <w:r>
              <w:rPr>
                <w:rFonts w:ascii="Arial" w:hAnsi="Arial" w:cs="Arial"/>
              </w:rPr>
              <w:t>Rot</w:t>
            </w:r>
          </w:p>
        </w:tc>
        <w:tc>
          <w:tcPr>
            <w:tcW w:w="3310" w:type="dxa"/>
          </w:tcPr>
          <w:p w14:paraId="401EB250" w14:textId="609F5A8F" w:rsidR="00505872" w:rsidRPr="000A46F3" w:rsidRDefault="00E03CD5" w:rsidP="00F24570">
            <w:pPr>
              <w:rPr>
                <w:rFonts w:ascii="Arial" w:hAnsi="Arial" w:cs="Arial"/>
              </w:rPr>
            </w:pPr>
            <w:r>
              <w:rPr>
                <w:rFonts w:ascii="Arial" w:hAnsi="Arial" w:cs="Arial"/>
              </w:rPr>
              <w:t>Blau</w:t>
            </w:r>
          </w:p>
        </w:tc>
      </w:tr>
      <w:tr w:rsidR="00505872" w:rsidRPr="000A46F3" w14:paraId="70B2C5C1" w14:textId="77777777" w:rsidTr="00F24570">
        <w:tc>
          <w:tcPr>
            <w:tcW w:w="3020" w:type="dxa"/>
          </w:tcPr>
          <w:p w14:paraId="70F6012D" w14:textId="44A6C384" w:rsidR="00505872" w:rsidRPr="000A46F3" w:rsidRDefault="00E03CD5" w:rsidP="00F24570">
            <w:pPr>
              <w:rPr>
                <w:rFonts w:ascii="Arial" w:hAnsi="Arial" w:cs="Arial"/>
              </w:rPr>
            </w:pPr>
            <w:r>
              <w:rPr>
                <w:rFonts w:ascii="Arial" w:hAnsi="Arial" w:cs="Arial"/>
              </w:rPr>
              <w:t>Rot</w:t>
            </w:r>
          </w:p>
        </w:tc>
        <w:tc>
          <w:tcPr>
            <w:tcW w:w="3021" w:type="dxa"/>
          </w:tcPr>
          <w:p w14:paraId="28980C44" w14:textId="29995F08" w:rsidR="00505872" w:rsidRPr="002034FA" w:rsidRDefault="00E03CD5" w:rsidP="00F24570">
            <w:pPr>
              <w:rPr>
                <w:rFonts w:ascii="Arial" w:hAnsi="Arial" w:cs="Arial"/>
                <w:highlight w:val="yellow"/>
              </w:rPr>
            </w:pPr>
            <w:r w:rsidRPr="002034FA">
              <w:rPr>
                <w:rFonts w:ascii="Arial" w:hAnsi="Arial" w:cs="Arial"/>
                <w:highlight w:val="yellow"/>
              </w:rPr>
              <w:t>8,4</w:t>
            </w:r>
          </w:p>
        </w:tc>
        <w:tc>
          <w:tcPr>
            <w:tcW w:w="3310" w:type="dxa"/>
          </w:tcPr>
          <w:p w14:paraId="6C1B5C59" w14:textId="6EE67481" w:rsidR="00505872" w:rsidRPr="000A46F3" w:rsidRDefault="00E03CD5" w:rsidP="00F24570">
            <w:pPr>
              <w:rPr>
                <w:rFonts w:ascii="Arial" w:hAnsi="Arial" w:cs="Arial"/>
              </w:rPr>
            </w:pPr>
            <w:r>
              <w:rPr>
                <w:rFonts w:ascii="Arial" w:hAnsi="Arial" w:cs="Arial"/>
              </w:rPr>
              <w:t>4,2</w:t>
            </w:r>
          </w:p>
        </w:tc>
      </w:tr>
      <w:tr w:rsidR="00505872" w:rsidRPr="000A46F3" w14:paraId="0E0D76B6" w14:textId="77777777" w:rsidTr="00F24570">
        <w:tc>
          <w:tcPr>
            <w:tcW w:w="3020" w:type="dxa"/>
          </w:tcPr>
          <w:p w14:paraId="15596E08" w14:textId="0BBCF310" w:rsidR="00505872" w:rsidRPr="000A46F3" w:rsidRDefault="00E03CD5" w:rsidP="00F24570">
            <w:pPr>
              <w:rPr>
                <w:rFonts w:ascii="Arial" w:hAnsi="Arial" w:cs="Arial"/>
              </w:rPr>
            </w:pPr>
            <w:r>
              <w:rPr>
                <w:rFonts w:ascii="Arial" w:hAnsi="Arial" w:cs="Arial"/>
              </w:rPr>
              <w:t>Blau</w:t>
            </w:r>
          </w:p>
        </w:tc>
        <w:tc>
          <w:tcPr>
            <w:tcW w:w="3021" w:type="dxa"/>
          </w:tcPr>
          <w:p w14:paraId="22DEF88F" w14:textId="7AAA7AB7" w:rsidR="00505872" w:rsidRPr="000A46F3" w:rsidRDefault="00E03CD5" w:rsidP="00F24570">
            <w:pPr>
              <w:rPr>
                <w:rFonts w:ascii="Arial" w:hAnsi="Arial" w:cs="Arial"/>
              </w:rPr>
            </w:pPr>
            <w:r>
              <w:rPr>
                <w:rFonts w:ascii="Arial" w:hAnsi="Arial" w:cs="Arial"/>
              </w:rPr>
              <w:t>4,6</w:t>
            </w:r>
          </w:p>
        </w:tc>
        <w:tc>
          <w:tcPr>
            <w:tcW w:w="3310" w:type="dxa"/>
          </w:tcPr>
          <w:p w14:paraId="5EF23CA5" w14:textId="2192AA59" w:rsidR="00505872" w:rsidRPr="000A46F3" w:rsidRDefault="00E03CD5" w:rsidP="00F24570">
            <w:pPr>
              <w:rPr>
                <w:rFonts w:ascii="Arial" w:hAnsi="Arial" w:cs="Arial"/>
              </w:rPr>
            </w:pPr>
            <w:r>
              <w:rPr>
                <w:rFonts w:ascii="Arial" w:hAnsi="Arial" w:cs="Arial"/>
              </w:rPr>
              <w:t>2,5</w:t>
            </w:r>
          </w:p>
        </w:tc>
      </w:tr>
    </w:tbl>
    <w:p w14:paraId="5959D92D" w14:textId="2B8E66CE" w:rsidR="00B57ED3" w:rsidRPr="00B57ED3" w:rsidRDefault="00B57ED3" w:rsidP="00DD16DB">
      <w:pPr>
        <w:pStyle w:val="Listenabsatz"/>
        <w:numPr>
          <w:ilvl w:val="0"/>
          <w:numId w:val="1"/>
        </w:numPr>
        <w:spacing w:before="240"/>
        <w:jc w:val="both"/>
        <w:rPr>
          <w:rFonts w:ascii="Arial" w:hAnsi="Arial" w:cs="Arial"/>
          <w:i/>
          <w:iCs/>
        </w:rPr>
      </w:pPr>
      <w:r w:rsidRPr="00B57ED3">
        <w:rPr>
          <w:rFonts w:ascii="Arial" w:hAnsi="Arial" w:cs="Arial"/>
          <w:i/>
          <w:iCs/>
        </w:rPr>
        <w:t>Die Schülerinnen und Schüler sollen erkennen, dass ein Nash-Gleichgewicht nicht zwingenderweise eindeutig ist</w:t>
      </w:r>
      <w:r>
        <w:rPr>
          <w:rFonts w:ascii="Arial" w:hAnsi="Arial" w:cs="Arial"/>
          <w:i/>
          <w:iCs/>
        </w:rPr>
        <w:t>.</w:t>
      </w:r>
    </w:p>
    <w:p w14:paraId="3B18E715" w14:textId="7698A75F" w:rsidR="00505872" w:rsidRDefault="002034FA" w:rsidP="00DD16DB">
      <w:pPr>
        <w:pStyle w:val="Listenabsatz"/>
        <w:jc w:val="both"/>
        <w:rPr>
          <w:rFonts w:ascii="Arial" w:hAnsi="Arial" w:cs="Arial"/>
        </w:rPr>
      </w:pPr>
      <w:r>
        <w:rPr>
          <w:rFonts w:ascii="Arial" w:hAnsi="Arial" w:cs="Arial"/>
        </w:rPr>
        <w:t>Anna und Bernd wollen sich gemeinsam im Kino einen Film ansehen. Während Anna gerne Film 1 anschauen möchte, würde Bernd lieber Film 2 gucken. Die Auszahlung ist für beide 0, wenn sie sich unterschiedliche Filme ansehen (vgl. Tabelle). Es gibt in diesem Fall zwei Nash-Gleichgewichte: (Film 1, Film 1) = (2,1) und (Film 2, Film 2) = (1,2).</w:t>
      </w:r>
    </w:p>
    <w:tbl>
      <w:tblPr>
        <w:tblStyle w:val="Tabellenraster"/>
        <w:tblW w:w="9351" w:type="dxa"/>
        <w:tblLook w:val="04A0" w:firstRow="1" w:lastRow="0" w:firstColumn="1" w:lastColumn="0" w:noHBand="0" w:noVBand="1"/>
      </w:tblPr>
      <w:tblGrid>
        <w:gridCol w:w="3020"/>
        <w:gridCol w:w="3021"/>
        <w:gridCol w:w="3310"/>
      </w:tblGrid>
      <w:tr w:rsidR="002034FA" w:rsidRPr="000A46F3" w14:paraId="0F9D3260" w14:textId="77777777" w:rsidTr="00F24570">
        <w:tc>
          <w:tcPr>
            <w:tcW w:w="3020" w:type="dxa"/>
          </w:tcPr>
          <w:p w14:paraId="3E56EFE6" w14:textId="77777777" w:rsidR="002034FA" w:rsidRPr="000A46F3" w:rsidRDefault="002034FA" w:rsidP="00F24570">
            <w:pPr>
              <w:rPr>
                <w:rFonts w:ascii="Arial" w:hAnsi="Arial" w:cs="Arial"/>
              </w:rPr>
            </w:pPr>
          </w:p>
        </w:tc>
        <w:tc>
          <w:tcPr>
            <w:tcW w:w="3021" w:type="dxa"/>
          </w:tcPr>
          <w:p w14:paraId="283E19FB" w14:textId="38ADEDB1" w:rsidR="002034FA" w:rsidRPr="000A46F3" w:rsidRDefault="002034FA" w:rsidP="00F24570">
            <w:pPr>
              <w:rPr>
                <w:rFonts w:ascii="Arial" w:hAnsi="Arial" w:cs="Arial"/>
              </w:rPr>
            </w:pPr>
            <w:r>
              <w:rPr>
                <w:rFonts w:ascii="Arial" w:hAnsi="Arial" w:cs="Arial"/>
              </w:rPr>
              <w:t>B schaut Film 1</w:t>
            </w:r>
          </w:p>
        </w:tc>
        <w:tc>
          <w:tcPr>
            <w:tcW w:w="3310" w:type="dxa"/>
          </w:tcPr>
          <w:p w14:paraId="71777A56" w14:textId="7CBB9597" w:rsidR="002034FA" w:rsidRPr="000A46F3" w:rsidRDefault="002034FA" w:rsidP="00F24570">
            <w:pPr>
              <w:rPr>
                <w:rFonts w:ascii="Arial" w:hAnsi="Arial" w:cs="Arial"/>
              </w:rPr>
            </w:pPr>
            <w:r>
              <w:rPr>
                <w:rFonts w:ascii="Arial" w:hAnsi="Arial" w:cs="Arial"/>
              </w:rPr>
              <w:t>B</w:t>
            </w:r>
            <w:r>
              <w:rPr>
                <w:rFonts w:ascii="Arial" w:hAnsi="Arial" w:cs="Arial"/>
              </w:rPr>
              <w:t xml:space="preserve"> schaut Film 2</w:t>
            </w:r>
          </w:p>
        </w:tc>
      </w:tr>
      <w:tr w:rsidR="002034FA" w:rsidRPr="000A46F3" w14:paraId="2E43F10C" w14:textId="77777777" w:rsidTr="00F24570">
        <w:tc>
          <w:tcPr>
            <w:tcW w:w="3020" w:type="dxa"/>
          </w:tcPr>
          <w:p w14:paraId="1CA24D8A" w14:textId="42466205" w:rsidR="002034FA" w:rsidRPr="000A46F3" w:rsidRDefault="002034FA" w:rsidP="00F24570">
            <w:pPr>
              <w:rPr>
                <w:rFonts w:ascii="Arial" w:hAnsi="Arial" w:cs="Arial"/>
              </w:rPr>
            </w:pPr>
            <w:r>
              <w:rPr>
                <w:rFonts w:ascii="Arial" w:hAnsi="Arial" w:cs="Arial"/>
              </w:rPr>
              <w:t>A schaut Film 1</w:t>
            </w:r>
          </w:p>
        </w:tc>
        <w:tc>
          <w:tcPr>
            <w:tcW w:w="3021" w:type="dxa"/>
          </w:tcPr>
          <w:p w14:paraId="1985779C" w14:textId="1899FCD8" w:rsidR="002034FA" w:rsidRPr="002034FA" w:rsidRDefault="002034FA" w:rsidP="00F24570">
            <w:pPr>
              <w:rPr>
                <w:rFonts w:ascii="Arial" w:hAnsi="Arial" w:cs="Arial"/>
                <w:highlight w:val="yellow"/>
              </w:rPr>
            </w:pPr>
            <w:r>
              <w:rPr>
                <w:rFonts w:ascii="Arial" w:hAnsi="Arial" w:cs="Arial"/>
                <w:highlight w:val="yellow"/>
              </w:rPr>
              <w:t>2,1</w:t>
            </w:r>
          </w:p>
        </w:tc>
        <w:tc>
          <w:tcPr>
            <w:tcW w:w="3310" w:type="dxa"/>
          </w:tcPr>
          <w:p w14:paraId="304A524C" w14:textId="5F7CD604" w:rsidR="002034FA" w:rsidRPr="000A46F3" w:rsidRDefault="002034FA" w:rsidP="00F24570">
            <w:pPr>
              <w:rPr>
                <w:rFonts w:ascii="Arial" w:hAnsi="Arial" w:cs="Arial"/>
              </w:rPr>
            </w:pPr>
            <w:r>
              <w:rPr>
                <w:rFonts w:ascii="Arial" w:hAnsi="Arial" w:cs="Arial"/>
              </w:rPr>
              <w:t>0,0</w:t>
            </w:r>
          </w:p>
        </w:tc>
      </w:tr>
      <w:tr w:rsidR="002034FA" w:rsidRPr="000A46F3" w14:paraId="76E7DCFE" w14:textId="77777777" w:rsidTr="00F24570">
        <w:tc>
          <w:tcPr>
            <w:tcW w:w="3020" w:type="dxa"/>
          </w:tcPr>
          <w:p w14:paraId="7F831F1D" w14:textId="4E6D90CE" w:rsidR="002034FA" w:rsidRPr="000A46F3" w:rsidRDefault="002034FA" w:rsidP="00F24570">
            <w:pPr>
              <w:rPr>
                <w:rFonts w:ascii="Arial" w:hAnsi="Arial" w:cs="Arial"/>
              </w:rPr>
            </w:pPr>
            <w:r>
              <w:rPr>
                <w:rFonts w:ascii="Arial" w:hAnsi="Arial" w:cs="Arial"/>
              </w:rPr>
              <w:t>A schaut Film 2</w:t>
            </w:r>
          </w:p>
        </w:tc>
        <w:tc>
          <w:tcPr>
            <w:tcW w:w="3021" w:type="dxa"/>
          </w:tcPr>
          <w:p w14:paraId="644D9FDB" w14:textId="2AC4B1EC" w:rsidR="002034FA" w:rsidRPr="000A46F3" w:rsidRDefault="002034FA" w:rsidP="00F24570">
            <w:pPr>
              <w:rPr>
                <w:rFonts w:ascii="Arial" w:hAnsi="Arial" w:cs="Arial"/>
              </w:rPr>
            </w:pPr>
            <w:r>
              <w:rPr>
                <w:rFonts w:ascii="Arial" w:hAnsi="Arial" w:cs="Arial"/>
              </w:rPr>
              <w:t>0,0</w:t>
            </w:r>
          </w:p>
        </w:tc>
        <w:tc>
          <w:tcPr>
            <w:tcW w:w="3310" w:type="dxa"/>
          </w:tcPr>
          <w:p w14:paraId="10FA8C5F" w14:textId="3DA66DFF" w:rsidR="002034FA" w:rsidRPr="000A46F3" w:rsidRDefault="002034FA" w:rsidP="00F24570">
            <w:pPr>
              <w:rPr>
                <w:rFonts w:ascii="Arial" w:hAnsi="Arial" w:cs="Arial"/>
              </w:rPr>
            </w:pPr>
            <w:r w:rsidRPr="002034FA">
              <w:rPr>
                <w:rFonts w:ascii="Arial" w:hAnsi="Arial" w:cs="Arial"/>
                <w:highlight w:val="yellow"/>
              </w:rPr>
              <w:t>1,2</w:t>
            </w:r>
          </w:p>
        </w:tc>
      </w:tr>
    </w:tbl>
    <w:p w14:paraId="2625D768" w14:textId="46AA4712" w:rsidR="002034FA" w:rsidRDefault="00B57ED3" w:rsidP="00023D5B">
      <w:pPr>
        <w:pStyle w:val="Listenabsatz"/>
        <w:numPr>
          <w:ilvl w:val="0"/>
          <w:numId w:val="1"/>
        </w:numPr>
        <w:spacing w:before="240"/>
        <w:jc w:val="both"/>
        <w:rPr>
          <w:rFonts w:ascii="Arial" w:hAnsi="Arial" w:cs="Arial"/>
        </w:rPr>
      </w:pPr>
      <w:r w:rsidRPr="00DD16DB">
        <w:rPr>
          <w:rFonts w:ascii="Arial" w:hAnsi="Arial" w:cs="Arial"/>
          <w:i/>
          <w:iCs/>
        </w:rPr>
        <w:t xml:space="preserve">Die Schülerinnen und Schüler </w:t>
      </w:r>
      <w:r w:rsidR="00DD16DB" w:rsidRPr="00DD16DB">
        <w:rPr>
          <w:rFonts w:ascii="Arial" w:hAnsi="Arial" w:cs="Arial"/>
          <w:i/>
          <w:iCs/>
        </w:rPr>
        <w:t>sollen verstehen, dass ein Spieler unter bestimmten Voraussetzungen eine Entscheidung treffen kann, unabhängig davon, wie sich der andere entscheidet.</w:t>
      </w:r>
      <w:r w:rsidR="00DD16DB">
        <w:rPr>
          <w:rFonts w:ascii="Arial" w:hAnsi="Arial" w:cs="Arial"/>
        </w:rPr>
        <w:t xml:space="preserve"> Dies nennt man auch </w:t>
      </w:r>
      <w:r w:rsidR="00DD16DB" w:rsidRPr="00DD16DB">
        <w:rPr>
          <w:rFonts w:ascii="Arial" w:hAnsi="Arial" w:cs="Arial"/>
          <w:i/>
          <w:iCs/>
        </w:rPr>
        <w:t>dominante Strategie</w:t>
      </w:r>
      <w:r w:rsidR="00DD16DB">
        <w:rPr>
          <w:rFonts w:ascii="Arial" w:hAnsi="Arial" w:cs="Arial"/>
        </w:rPr>
        <w:t>.</w:t>
      </w:r>
    </w:p>
    <w:p w14:paraId="0D755E46" w14:textId="568422EC" w:rsidR="00DD16DB" w:rsidRPr="00DD16DB" w:rsidRDefault="00DD16DB" w:rsidP="00023D5B">
      <w:pPr>
        <w:pStyle w:val="Listenabsatz"/>
        <w:spacing w:before="240"/>
        <w:jc w:val="both"/>
        <w:rPr>
          <w:rFonts w:ascii="Arial" w:hAnsi="Arial" w:cs="Arial"/>
        </w:rPr>
      </w:pPr>
      <w:r>
        <w:rPr>
          <w:rFonts w:ascii="Arial" w:hAnsi="Arial" w:cs="Arial"/>
        </w:rPr>
        <w:t>Zwei Unternehmen überlegen, ob sie in Werbung investieren sollen oder nicht.</w:t>
      </w:r>
      <w:r w:rsidR="006A24E0">
        <w:rPr>
          <w:rFonts w:ascii="Arial" w:hAnsi="Arial" w:cs="Arial"/>
        </w:rPr>
        <w:t xml:space="preserve"> U1 weiß anhand der Tabelle, dass U2 investieren wird, denn das ist die einzig sinnvolle Entscheidung für U2. Unter dieser Bedingung wählt U1 dann seine optimale Strategie. Das Nash-Gleichgewicht befindet sich im Punkt (U1 investiert, U2 investiert) = (12,8).</w:t>
      </w:r>
    </w:p>
    <w:tbl>
      <w:tblPr>
        <w:tblStyle w:val="Tabellenraster"/>
        <w:tblW w:w="9351" w:type="dxa"/>
        <w:tblLook w:val="04A0" w:firstRow="1" w:lastRow="0" w:firstColumn="1" w:lastColumn="0" w:noHBand="0" w:noVBand="1"/>
      </w:tblPr>
      <w:tblGrid>
        <w:gridCol w:w="3020"/>
        <w:gridCol w:w="3021"/>
        <w:gridCol w:w="3310"/>
      </w:tblGrid>
      <w:tr w:rsidR="00DD16DB" w:rsidRPr="000A46F3" w14:paraId="2297C996" w14:textId="77777777" w:rsidTr="00F24570">
        <w:tc>
          <w:tcPr>
            <w:tcW w:w="3020" w:type="dxa"/>
          </w:tcPr>
          <w:p w14:paraId="0C1607F2" w14:textId="77777777" w:rsidR="00DD16DB" w:rsidRPr="000A46F3" w:rsidRDefault="00DD16DB" w:rsidP="00F24570">
            <w:pPr>
              <w:rPr>
                <w:rFonts w:ascii="Arial" w:hAnsi="Arial" w:cs="Arial"/>
              </w:rPr>
            </w:pPr>
          </w:p>
        </w:tc>
        <w:tc>
          <w:tcPr>
            <w:tcW w:w="3021" w:type="dxa"/>
          </w:tcPr>
          <w:p w14:paraId="443B732E" w14:textId="41E05D80" w:rsidR="00DD16DB" w:rsidRPr="000A46F3" w:rsidRDefault="00DD16DB" w:rsidP="00F24570">
            <w:pPr>
              <w:rPr>
                <w:rFonts w:ascii="Arial" w:hAnsi="Arial" w:cs="Arial"/>
              </w:rPr>
            </w:pPr>
            <w:r>
              <w:rPr>
                <w:rFonts w:ascii="Arial" w:hAnsi="Arial" w:cs="Arial"/>
              </w:rPr>
              <w:t>U2 investiert</w:t>
            </w:r>
          </w:p>
        </w:tc>
        <w:tc>
          <w:tcPr>
            <w:tcW w:w="3310" w:type="dxa"/>
          </w:tcPr>
          <w:p w14:paraId="37BE8241" w14:textId="2EE0F8CD" w:rsidR="00DD16DB" w:rsidRPr="000A46F3" w:rsidRDefault="00DD16DB" w:rsidP="00F24570">
            <w:pPr>
              <w:rPr>
                <w:rFonts w:ascii="Arial" w:hAnsi="Arial" w:cs="Arial"/>
              </w:rPr>
            </w:pPr>
            <w:r>
              <w:rPr>
                <w:rFonts w:ascii="Arial" w:hAnsi="Arial" w:cs="Arial"/>
              </w:rPr>
              <w:t>U</w:t>
            </w:r>
            <w:r>
              <w:rPr>
                <w:rFonts w:ascii="Arial" w:hAnsi="Arial" w:cs="Arial"/>
              </w:rPr>
              <w:t>2</w:t>
            </w:r>
            <w:r>
              <w:rPr>
                <w:rFonts w:ascii="Arial" w:hAnsi="Arial" w:cs="Arial"/>
              </w:rPr>
              <w:t xml:space="preserve"> investiert nicht</w:t>
            </w:r>
          </w:p>
        </w:tc>
      </w:tr>
      <w:tr w:rsidR="00DD16DB" w:rsidRPr="000A46F3" w14:paraId="0413A4A9" w14:textId="77777777" w:rsidTr="00F24570">
        <w:tc>
          <w:tcPr>
            <w:tcW w:w="3020" w:type="dxa"/>
          </w:tcPr>
          <w:p w14:paraId="341D4E65" w14:textId="046850EC" w:rsidR="00DD16DB" w:rsidRPr="000A46F3" w:rsidRDefault="00DD16DB" w:rsidP="00F24570">
            <w:pPr>
              <w:rPr>
                <w:rFonts w:ascii="Arial" w:hAnsi="Arial" w:cs="Arial"/>
              </w:rPr>
            </w:pPr>
            <w:r>
              <w:rPr>
                <w:rFonts w:ascii="Arial" w:hAnsi="Arial" w:cs="Arial"/>
              </w:rPr>
              <w:t>U1 investiert</w:t>
            </w:r>
          </w:p>
        </w:tc>
        <w:tc>
          <w:tcPr>
            <w:tcW w:w="3021" w:type="dxa"/>
          </w:tcPr>
          <w:p w14:paraId="6355366E" w14:textId="67937D13" w:rsidR="00DD16DB" w:rsidRPr="002034FA" w:rsidRDefault="00DD16DB" w:rsidP="00F24570">
            <w:pPr>
              <w:rPr>
                <w:rFonts w:ascii="Arial" w:hAnsi="Arial" w:cs="Arial"/>
                <w:highlight w:val="yellow"/>
              </w:rPr>
            </w:pPr>
            <w:r>
              <w:rPr>
                <w:rFonts w:ascii="Arial" w:hAnsi="Arial" w:cs="Arial"/>
                <w:highlight w:val="yellow"/>
              </w:rPr>
              <w:t>12</w:t>
            </w:r>
            <w:r>
              <w:rPr>
                <w:rFonts w:ascii="Arial" w:hAnsi="Arial" w:cs="Arial"/>
                <w:highlight w:val="yellow"/>
              </w:rPr>
              <w:t>,</w:t>
            </w:r>
            <w:r>
              <w:rPr>
                <w:rFonts w:ascii="Arial" w:hAnsi="Arial" w:cs="Arial"/>
                <w:highlight w:val="yellow"/>
              </w:rPr>
              <w:t>8</w:t>
            </w:r>
          </w:p>
        </w:tc>
        <w:tc>
          <w:tcPr>
            <w:tcW w:w="3310" w:type="dxa"/>
          </w:tcPr>
          <w:p w14:paraId="57160D93" w14:textId="7F38E896" w:rsidR="00DD16DB" w:rsidRPr="000A46F3" w:rsidRDefault="006A24E0" w:rsidP="00F24570">
            <w:pPr>
              <w:rPr>
                <w:rFonts w:ascii="Arial" w:hAnsi="Arial" w:cs="Arial"/>
              </w:rPr>
            </w:pPr>
            <w:r>
              <w:rPr>
                <w:rFonts w:ascii="Arial" w:hAnsi="Arial" w:cs="Arial"/>
              </w:rPr>
              <w:t>12</w:t>
            </w:r>
            <w:r w:rsidR="00DD16DB">
              <w:rPr>
                <w:rFonts w:ascii="Arial" w:hAnsi="Arial" w:cs="Arial"/>
              </w:rPr>
              <w:t>,</w:t>
            </w:r>
            <w:r w:rsidR="00DD16DB">
              <w:rPr>
                <w:rFonts w:ascii="Arial" w:hAnsi="Arial" w:cs="Arial"/>
              </w:rPr>
              <w:t>3</w:t>
            </w:r>
          </w:p>
        </w:tc>
      </w:tr>
      <w:tr w:rsidR="00DD16DB" w:rsidRPr="000A46F3" w14:paraId="2779291C" w14:textId="77777777" w:rsidTr="00F24570">
        <w:tc>
          <w:tcPr>
            <w:tcW w:w="3020" w:type="dxa"/>
          </w:tcPr>
          <w:p w14:paraId="00A09C39" w14:textId="27A30ACF" w:rsidR="00DD16DB" w:rsidRPr="000A46F3" w:rsidRDefault="00DD16DB" w:rsidP="00F24570">
            <w:pPr>
              <w:rPr>
                <w:rFonts w:ascii="Arial" w:hAnsi="Arial" w:cs="Arial"/>
              </w:rPr>
            </w:pPr>
            <w:r>
              <w:rPr>
                <w:rFonts w:ascii="Arial" w:hAnsi="Arial" w:cs="Arial"/>
              </w:rPr>
              <w:t>U1 investiert nicht</w:t>
            </w:r>
          </w:p>
        </w:tc>
        <w:tc>
          <w:tcPr>
            <w:tcW w:w="3021" w:type="dxa"/>
          </w:tcPr>
          <w:p w14:paraId="2C95EC5B" w14:textId="373759C7" w:rsidR="00DD16DB" w:rsidRPr="000A46F3" w:rsidRDefault="006A24E0" w:rsidP="00F24570">
            <w:pPr>
              <w:rPr>
                <w:rFonts w:ascii="Arial" w:hAnsi="Arial" w:cs="Arial"/>
              </w:rPr>
            </w:pPr>
            <w:r>
              <w:rPr>
                <w:rFonts w:ascii="Arial" w:hAnsi="Arial" w:cs="Arial"/>
              </w:rPr>
              <w:t>7</w:t>
            </w:r>
            <w:r w:rsidR="00DD16DB">
              <w:rPr>
                <w:rFonts w:ascii="Arial" w:hAnsi="Arial" w:cs="Arial"/>
              </w:rPr>
              <w:t>,</w:t>
            </w:r>
            <w:r w:rsidR="00DD16DB">
              <w:rPr>
                <w:rFonts w:ascii="Arial" w:hAnsi="Arial" w:cs="Arial"/>
              </w:rPr>
              <w:t>10</w:t>
            </w:r>
          </w:p>
        </w:tc>
        <w:tc>
          <w:tcPr>
            <w:tcW w:w="3310" w:type="dxa"/>
          </w:tcPr>
          <w:p w14:paraId="0E993B00" w14:textId="7786541B" w:rsidR="00DD16DB" w:rsidRPr="000A46F3" w:rsidRDefault="006A24E0" w:rsidP="00F24570">
            <w:pPr>
              <w:rPr>
                <w:rFonts w:ascii="Arial" w:hAnsi="Arial" w:cs="Arial"/>
              </w:rPr>
            </w:pPr>
            <w:r>
              <w:rPr>
                <w:rFonts w:ascii="Arial" w:hAnsi="Arial" w:cs="Arial"/>
              </w:rPr>
              <w:t>18,4</w:t>
            </w:r>
          </w:p>
        </w:tc>
      </w:tr>
    </w:tbl>
    <w:p w14:paraId="23AAC5F2" w14:textId="157F8CF5" w:rsidR="00DD16DB" w:rsidRPr="00DD16DB" w:rsidRDefault="00023D5B" w:rsidP="00023D5B">
      <w:pPr>
        <w:spacing w:before="240"/>
        <w:jc w:val="both"/>
        <w:rPr>
          <w:rFonts w:ascii="Arial" w:hAnsi="Arial" w:cs="Arial"/>
        </w:rPr>
      </w:pPr>
      <w:r>
        <w:rPr>
          <w:rFonts w:ascii="Arial" w:hAnsi="Arial" w:cs="Arial"/>
        </w:rPr>
        <w:t>Wurden diese drei Lernziele erreicht, so können im Folgenden die Anwendungsbeispiele behandelt werden.</w:t>
      </w:r>
    </w:p>
    <w:sectPr w:rsidR="00DD16DB" w:rsidRPr="00DD16D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B8D19B" w14:textId="77777777" w:rsidR="001A1675" w:rsidRDefault="001A1675" w:rsidP="00505872">
      <w:pPr>
        <w:spacing w:after="0" w:line="240" w:lineRule="auto"/>
      </w:pPr>
      <w:r>
        <w:separator/>
      </w:r>
    </w:p>
  </w:endnote>
  <w:endnote w:type="continuationSeparator" w:id="0">
    <w:p w14:paraId="48F2F97F" w14:textId="77777777" w:rsidR="001A1675" w:rsidRDefault="001A1675" w:rsidP="0050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71E22" w14:textId="77777777" w:rsidR="001A1675" w:rsidRDefault="001A1675" w:rsidP="00505872">
      <w:pPr>
        <w:spacing w:after="0" w:line="240" w:lineRule="auto"/>
      </w:pPr>
      <w:r>
        <w:separator/>
      </w:r>
    </w:p>
  </w:footnote>
  <w:footnote w:type="continuationSeparator" w:id="0">
    <w:p w14:paraId="47F66875" w14:textId="77777777" w:rsidR="001A1675" w:rsidRDefault="001A1675" w:rsidP="00505872">
      <w:pPr>
        <w:spacing w:after="0" w:line="240" w:lineRule="auto"/>
      </w:pPr>
      <w:r>
        <w:continuationSeparator/>
      </w:r>
    </w:p>
  </w:footnote>
  <w:footnote w:id="1">
    <w:p w14:paraId="72EFD0E1" w14:textId="0073F9BE" w:rsidR="00505872" w:rsidRDefault="00505872" w:rsidP="00505872">
      <w:pPr>
        <w:pStyle w:val="Funotentext"/>
      </w:pPr>
      <w:r>
        <w:rPr>
          <w:rStyle w:val="Funotenzeichen"/>
        </w:rPr>
        <w:footnoteRef/>
      </w:r>
      <w:r>
        <w:t xml:space="preserve"> </w:t>
      </w:r>
      <w:r w:rsidR="00FD0689">
        <w:t xml:space="preserve">B. </w:t>
      </w:r>
      <w:r>
        <w:t>Martin</w:t>
      </w:r>
      <w:r w:rsidR="00FD0689">
        <w:t>.</w:t>
      </w:r>
      <w:r>
        <w:t xml:space="preserve"> </w:t>
      </w:r>
      <w:r w:rsidR="00FD0689">
        <w:t xml:space="preserve"> </w:t>
      </w:r>
      <w:r>
        <w:t>A</w:t>
      </w:r>
      <w:r>
        <w:t>ufgek</w:t>
      </w:r>
      <w:r>
        <w:t>lä</w:t>
      </w:r>
      <w:r>
        <w:t>rte Vernunft und konkurrierende Handlungsrationalit</w:t>
      </w:r>
      <w:r>
        <w:t>ä</w:t>
      </w:r>
      <w:r>
        <w:t>ten am Ende des 20. Jahrhunderts. Sozialtheorie zwischen pr</w:t>
      </w:r>
      <w:r>
        <w:t>ä</w:t>
      </w:r>
      <w:r>
        <w:t>disponiertem Nutzenkalk</w:t>
      </w:r>
      <w:r>
        <w:t>ü</w:t>
      </w:r>
      <w:r>
        <w:t>l, Werterelativismus und den Vorzeichen islamischen Absolutismus</w:t>
      </w:r>
      <w:r w:rsidR="00FD0689">
        <w:t xml:space="preserve">. </w:t>
      </w:r>
      <w:r w:rsidR="00FD0689">
        <w:t>Schriften aus der Fakultät Humanwissenschaften der Otto-Friedrich-Universität Bamberg</w:t>
      </w:r>
      <w:r w:rsidR="00FD0689">
        <w:t xml:space="preserve">. </w:t>
      </w:r>
      <w:r>
        <w:t xml:space="preserve">University </w:t>
      </w:r>
      <w:proofErr w:type="spellStart"/>
      <w:r>
        <w:t>of</w:t>
      </w:r>
      <w:proofErr w:type="spellEnd"/>
      <w:r>
        <w:t xml:space="preserve"> Bamberg Press</w:t>
      </w:r>
      <w:r w:rsidR="00FD0689">
        <w:t>,</w:t>
      </w:r>
      <w:r>
        <w:t xml:space="preserve"> 2012</w:t>
      </w:r>
      <w:r w:rsidR="00FD0689">
        <w:t>.</w:t>
      </w:r>
      <w:r w:rsidR="00E03CD5">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EC3E18"/>
    <w:multiLevelType w:val="hybridMultilevel"/>
    <w:tmpl w:val="1F1E499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5B0"/>
    <w:rsid w:val="00023D5B"/>
    <w:rsid w:val="00073509"/>
    <w:rsid w:val="000A46F3"/>
    <w:rsid w:val="001A1675"/>
    <w:rsid w:val="002025B0"/>
    <w:rsid w:val="002034FA"/>
    <w:rsid w:val="00505872"/>
    <w:rsid w:val="00507E98"/>
    <w:rsid w:val="00532FD1"/>
    <w:rsid w:val="005F2532"/>
    <w:rsid w:val="006A24E0"/>
    <w:rsid w:val="0074028E"/>
    <w:rsid w:val="00B57ED3"/>
    <w:rsid w:val="00D8181C"/>
    <w:rsid w:val="00DD16DB"/>
    <w:rsid w:val="00E03CD5"/>
    <w:rsid w:val="00E7560B"/>
    <w:rsid w:val="00EB0423"/>
    <w:rsid w:val="00FD06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6B6D"/>
  <w15:chartTrackingRefBased/>
  <w15:docId w15:val="{FDC472E1-FF89-413F-B8BD-0B69EF10B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F2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05872"/>
    <w:pPr>
      <w:ind w:left="720"/>
      <w:contextualSpacing/>
    </w:pPr>
  </w:style>
  <w:style w:type="paragraph" w:styleId="Funotentext">
    <w:name w:val="footnote text"/>
    <w:basedOn w:val="Standard"/>
    <w:link w:val="FunotentextZchn"/>
    <w:uiPriority w:val="99"/>
    <w:unhideWhenUsed/>
    <w:rsid w:val="00505872"/>
    <w:pPr>
      <w:spacing w:after="0" w:line="240" w:lineRule="auto"/>
    </w:pPr>
    <w:rPr>
      <w:sz w:val="20"/>
      <w:szCs w:val="20"/>
    </w:rPr>
  </w:style>
  <w:style w:type="character" w:customStyle="1" w:styleId="FunotentextZchn">
    <w:name w:val="Fußnotentext Zchn"/>
    <w:basedOn w:val="Absatz-Standardschriftart"/>
    <w:link w:val="Funotentext"/>
    <w:uiPriority w:val="99"/>
    <w:rsid w:val="00505872"/>
    <w:rPr>
      <w:sz w:val="20"/>
      <w:szCs w:val="20"/>
    </w:rPr>
  </w:style>
  <w:style w:type="character" w:styleId="Funotenzeichen">
    <w:name w:val="footnote reference"/>
    <w:basedOn w:val="Absatz-Standardschriftart"/>
    <w:uiPriority w:val="99"/>
    <w:semiHidden/>
    <w:unhideWhenUsed/>
    <w:rsid w:val="005058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ECA8B-A188-462F-A7E8-17288D0AF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473</Words>
  <Characters>2983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18528</dc:creator>
  <cp:keywords/>
  <dc:description/>
  <cp:lastModifiedBy>18528</cp:lastModifiedBy>
  <cp:revision>5</cp:revision>
  <dcterms:created xsi:type="dcterms:W3CDTF">2020-06-09T14:08:00Z</dcterms:created>
  <dcterms:modified xsi:type="dcterms:W3CDTF">2020-06-19T08:33:00Z</dcterms:modified>
</cp:coreProperties>
</file>